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Situation Publishing Client Briefing Document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6"/>
        <w:tblGridChange w:id="0">
          <w:tblGrid>
            <w:gridCol w:w="1041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objective for creating this piece of content?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primary product/solution?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is the primary message and key points that needs to be conveyed?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Is there a main industry/vertical focus? If so, please specify?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Are there any partners/customers featuring?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Who is the spokesperson/s?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Useful links and blogs should be shared here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567" w:top="397" w:left="737" w:right="737" w:header="1700.7874015748032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4253"/>
        <w:tab w:val="left" w:pos="5954"/>
        <w:tab w:val="right" w:pos="8931"/>
      </w:tabs>
      <w:spacing w:after="0" w:before="0" w:line="240" w:lineRule="auto"/>
      <w:ind w:left="0" w:right="3544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1745143</wp:posOffset>
          </wp:positionH>
          <wp:positionV relativeFrom="paragraph">
            <wp:posOffset>-640481</wp:posOffset>
          </wp:positionV>
          <wp:extent cx="3137218" cy="821332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984" t="0"/>
                  <a:stretch>
                    <a:fillRect/>
                  </a:stretch>
                </pic:blipFill>
                <pic:spPr>
                  <a:xfrm>
                    <a:off x="0" y="0"/>
                    <a:ext cx="3137218" cy="8213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